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187" w:lineRule="auto"/>
        <w:rPr>
          <w:rFonts w:ascii="黑体" w:hAnsi="黑体" w:eastAsia="黑体" w:cs="黑体"/>
          <w:sz w:val="32"/>
          <w:szCs w:val="32"/>
        </w:rPr>
      </w:pPr>
    </w:p>
    <w:p>
      <w:pPr>
        <w:spacing w:before="143" w:line="181" w:lineRule="auto"/>
        <w:jc w:val="center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-4"/>
          <w:sz w:val="44"/>
          <w:szCs w:val="44"/>
        </w:rPr>
        <w:t>2022</w:t>
      </w:r>
      <w:r>
        <w:rPr>
          <w:rFonts w:ascii="Times New Roman" w:hAnsi="Times New Roman" w:eastAsia="Times New Roman" w:cs="Times New Roman"/>
          <w:spacing w:val="16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4"/>
          <w:sz w:val="44"/>
          <w:szCs w:val="44"/>
        </w:rPr>
        <w:t>年</w:t>
      </w:r>
      <w:r>
        <w:rPr>
          <w:rFonts w:hint="eastAsia" w:ascii="宋体" w:hAnsi="宋体" w:eastAsia="宋体" w:cs="宋体"/>
          <w:spacing w:val="-4"/>
          <w:sz w:val="44"/>
          <w:szCs w:val="44"/>
          <w:lang w:eastAsia="zh-CN"/>
        </w:rPr>
        <w:t>湖南师范大学附属中学</w:t>
      </w:r>
      <w:r>
        <w:rPr>
          <w:rFonts w:ascii="宋体" w:hAnsi="宋体" w:eastAsia="宋体" w:cs="宋体"/>
          <w:spacing w:val="-4"/>
          <w:sz w:val="44"/>
          <w:szCs w:val="44"/>
        </w:rPr>
        <w:t>预算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104" w:line="187" w:lineRule="auto"/>
        <w:ind w:firstLine="39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7"/>
          <w:sz w:val="32"/>
          <w:szCs w:val="32"/>
        </w:rPr>
        <w:t>目</w:t>
      </w:r>
      <w:r>
        <w:rPr>
          <w:rFonts w:ascii="黑体" w:hAnsi="黑体" w:eastAsia="黑体" w:cs="黑体"/>
          <w:spacing w:val="2"/>
          <w:sz w:val="32"/>
          <w:szCs w:val="32"/>
        </w:rPr>
        <w:t xml:space="preserve">   </w:t>
      </w:r>
      <w:r>
        <w:rPr>
          <w:rFonts w:ascii="黑体" w:hAnsi="黑体" w:eastAsia="黑体" w:cs="黑体"/>
          <w:spacing w:val="-27"/>
          <w:sz w:val="32"/>
          <w:szCs w:val="32"/>
        </w:rPr>
        <w:t>录</w:t>
      </w:r>
    </w:p>
    <w:p>
      <w:pPr>
        <w:spacing w:line="256" w:lineRule="auto"/>
        <w:rPr>
          <w:rFonts w:ascii="Arial"/>
          <w:sz w:val="21"/>
        </w:rPr>
      </w:pPr>
    </w:p>
    <w:p>
      <w:pPr>
        <w:spacing w:before="104" w:line="600" w:lineRule="exact"/>
        <w:ind w:firstLine="65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position w:val="2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第一部分</w:t>
      </w:r>
      <w:r>
        <w:rPr>
          <w:rFonts w:ascii="仿宋" w:hAnsi="仿宋" w:eastAsia="仿宋" w:cs="仿宋"/>
          <w:spacing w:val="5"/>
          <w:position w:val="20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position w:val="20"/>
          <w:sz w:val="32"/>
          <w:szCs w:val="32"/>
        </w:rPr>
        <w:t>2022</w:t>
      </w:r>
      <w:r>
        <w:rPr>
          <w:rFonts w:ascii="Times New Roman" w:hAnsi="Times New Roman" w:eastAsia="Times New Roman" w:cs="Times New Roman"/>
          <w:spacing w:val="14"/>
          <w:position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position w:val="2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年单位预算说明</w:t>
      </w:r>
    </w:p>
    <w:p>
      <w:pPr>
        <w:spacing w:line="204" w:lineRule="auto"/>
        <w:ind w:firstLine="65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第二部分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32"/>
          <w:szCs w:val="32"/>
        </w:rPr>
        <w:t>2022</w:t>
      </w:r>
      <w:r>
        <w:rPr>
          <w:rFonts w:ascii="Times New Roman" w:hAnsi="Times New Roman" w:eastAsia="Times New Roman" w:cs="Times New Roman"/>
          <w:spacing w:val="14"/>
          <w:w w:val="10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年单位预算表</w:t>
      </w:r>
    </w:p>
    <w:p>
      <w:pPr>
        <w:spacing w:before="247" w:line="183" w:lineRule="auto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5"/>
          <w:sz w:val="32"/>
          <w:szCs w:val="32"/>
        </w:rPr>
        <w:t>1</w:t>
      </w:r>
      <w:r>
        <w:rPr>
          <w:rFonts w:ascii="Times New Roman" w:hAnsi="Times New Roman" w:eastAsia="Times New Roman" w:cs="Times New Roman"/>
          <w:spacing w:val="-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、收支总表</w:t>
      </w:r>
    </w:p>
    <w:p>
      <w:pPr>
        <w:spacing w:before="283" w:line="183" w:lineRule="auto"/>
        <w:ind w:firstLine="63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0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spacing w:val="-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、收入总表</w:t>
      </w:r>
    </w:p>
    <w:p>
      <w:pPr>
        <w:spacing w:before="282" w:line="183" w:lineRule="auto"/>
        <w:ind w:firstLine="636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1"/>
          <w:sz w:val="32"/>
          <w:szCs w:val="32"/>
        </w:rPr>
        <w:t>3</w:t>
      </w:r>
      <w:r>
        <w:rPr>
          <w:rFonts w:ascii="Times New Roman" w:hAnsi="Times New Roman" w:eastAsia="Times New Roman" w:cs="Times New Roman"/>
          <w:spacing w:val="-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、支出总表</w:t>
      </w:r>
    </w:p>
    <w:p>
      <w:pPr>
        <w:spacing w:before="283" w:line="183" w:lineRule="auto"/>
        <w:ind w:firstLine="628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4</w:t>
      </w:r>
      <w:r>
        <w:rPr>
          <w:rFonts w:ascii="Times New Roman" w:hAnsi="Times New Roman" w:eastAsia="Times New Roman" w:cs="Times New Roman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、支出预算分类汇总表（按政府预算经济分类）</w:t>
      </w:r>
    </w:p>
    <w:p>
      <w:pPr>
        <w:spacing w:before="283" w:line="183" w:lineRule="auto"/>
        <w:ind w:firstLine="638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5</w:t>
      </w:r>
      <w:r>
        <w:rPr>
          <w:rFonts w:ascii="Times New Roman" w:hAnsi="Times New Roman" w:eastAsia="Times New Roman" w:cs="Times New Roman"/>
          <w:spacing w:val="-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、支出预算分类汇总表（按部门预算经济分类）</w:t>
      </w:r>
    </w:p>
    <w:p>
      <w:pPr>
        <w:spacing w:before="283" w:line="183" w:lineRule="auto"/>
        <w:ind w:firstLine="637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8"/>
          <w:sz w:val="32"/>
          <w:szCs w:val="32"/>
        </w:rPr>
        <w:t>6</w:t>
      </w:r>
      <w:r>
        <w:rPr>
          <w:rFonts w:ascii="Times New Roman" w:hAnsi="Times New Roman" w:eastAsia="Times New Roman" w:cs="Times New Roman"/>
          <w:spacing w:val="-3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、财政拨款收支总表</w:t>
      </w:r>
    </w:p>
    <w:p>
      <w:pPr>
        <w:spacing w:before="283" w:line="183" w:lineRule="auto"/>
        <w:ind w:firstLine="635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7"/>
          <w:sz w:val="32"/>
          <w:szCs w:val="32"/>
        </w:rPr>
        <w:t>7</w:t>
      </w:r>
      <w:r>
        <w:rPr>
          <w:rFonts w:ascii="Times New Roman" w:hAnsi="Times New Roman" w:eastAsia="Times New Roman" w:cs="Times New Roman"/>
          <w:spacing w:val="-4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、一般公共预算支出表</w:t>
      </w:r>
    </w:p>
    <w:p>
      <w:pPr>
        <w:spacing w:before="283" w:line="240" w:lineRule="auto"/>
        <w:ind w:firstLine="638"/>
        <w:jc w:val="left"/>
        <w:rPr>
          <w:rFonts w:ascii="仿宋" w:hAnsi="仿宋" w:eastAsia="仿宋" w:cs="仿宋"/>
          <w:spacing w:val="-138"/>
          <w:w w:val="95"/>
          <w:sz w:val="32"/>
          <w:szCs w:val="32"/>
        </w:rPr>
      </w:pP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8</w:t>
      </w:r>
      <w:r>
        <w:rPr>
          <w:rFonts w:ascii="Times New Roman" w:hAnsi="Times New Roman" w:eastAsia="Times New Roman" w:cs="Times New Roman"/>
          <w:spacing w:val="-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、一般公共预算基本支出表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-</w:t>
      </w:r>
      <w:r>
        <w:rPr>
          <w:rFonts w:ascii="仿宋" w:hAnsi="仿宋" w:eastAsia="仿宋" w:cs="仿宋"/>
          <w:spacing w:val="-4"/>
          <w:sz w:val="32"/>
          <w:szCs w:val="32"/>
        </w:rPr>
        <w:t>人员经费（工资福利支出</w:t>
      </w:r>
      <w:r>
        <w:rPr>
          <w:rFonts w:ascii="仿宋" w:hAnsi="仿宋" w:eastAsia="仿宋" w:cs="仿宋"/>
          <w:spacing w:val="-138"/>
          <w:w w:val="95"/>
          <w:sz w:val="32"/>
          <w:szCs w:val="32"/>
        </w:rPr>
        <w:t>）</w:t>
      </w:r>
    </w:p>
    <w:p>
      <w:pPr>
        <w:spacing w:before="283" w:line="360" w:lineRule="auto"/>
        <w:ind w:firstLine="638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（按部门预算经济分类）</w:t>
      </w:r>
    </w:p>
    <w:p>
      <w:pPr>
        <w:spacing w:line="360" w:lineRule="auto"/>
        <w:ind w:right="168" w:firstLine="624" w:firstLineChars="200"/>
        <w:jc w:val="left"/>
        <w:rPr>
          <w:rFonts w:ascii="仿宋" w:hAnsi="仿宋" w:eastAsia="仿宋" w:cs="仿宋"/>
          <w:spacing w:val="-141"/>
          <w:w w:val="97"/>
          <w:sz w:val="32"/>
          <w:szCs w:val="32"/>
        </w:rPr>
      </w:pP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9</w:t>
      </w:r>
      <w:r>
        <w:rPr>
          <w:rFonts w:ascii="Times New Roman" w:hAnsi="Times New Roman" w:eastAsia="Times New Roman" w:cs="Times New Roman"/>
          <w:spacing w:val="-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、一般公共预算基本支出表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-</w:t>
      </w:r>
      <w:r>
        <w:rPr>
          <w:rFonts w:ascii="仿宋" w:hAnsi="仿宋" w:eastAsia="仿宋" w:cs="仿宋"/>
          <w:spacing w:val="-4"/>
          <w:sz w:val="32"/>
          <w:szCs w:val="32"/>
        </w:rPr>
        <w:t>人员经费（工资福利支出</w:t>
      </w:r>
      <w:r>
        <w:rPr>
          <w:rFonts w:ascii="仿宋" w:hAnsi="仿宋" w:eastAsia="仿宋" w:cs="仿宋"/>
          <w:spacing w:val="-141"/>
          <w:w w:val="97"/>
          <w:sz w:val="32"/>
          <w:szCs w:val="32"/>
        </w:rPr>
        <w:t>）</w:t>
      </w:r>
    </w:p>
    <w:p>
      <w:pPr>
        <w:spacing w:line="360" w:lineRule="auto"/>
        <w:ind w:right="168" w:firstLine="624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（按</w:t>
      </w:r>
      <w:r>
        <w:rPr>
          <w:rFonts w:ascii="仿宋" w:hAnsi="仿宋" w:eastAsia="仿宋" w:cs="仿宋"/>
          <w:spacing w:val="-4"/>
          <w:sz w:val="32"/>
          <w:szCs w:val="32"/>
        </w:rPr>
        <w:t>部门预算经济分类）</w:t>
      </w:r>
    </w:p>
    <w:p>
      <w:pPr>
        <w:numPr>
          <w:ilvl w:val="0"/>
          <w:numId w:val="0"/>
        </w:numPr>
        <w:spacing w:before="1" w:line="346" w:lineRule="auto"/>
        <w:ind w:left="659" w:leftChars="0" w:right="0" w:rightChars="0"/>
        <w:rPr>
          <w:rFonts w:ascii="仿宋" w:hAnsi="仿宋" w:eastAsia="仿宋" w:cs="仿宋"/>
          <w:spacing w:val="-138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一般公共预算基本支出表</w:t>
      </w:r>
      <w:r>
        <w:rPr>
          <w:rFonts w:ascii="Times New Roman" w:hAnsi="Times New Roman" w:eastAsia="Times New Roman" w:cs="Times New Roman"/>
          <w:spacing w:val="-9"/>
          <w:sz w:val="32"/>
          <w:szCs w:val="32"/>
        </w:rPr>
        <w:t>-</w:t>
      </w:r>
      <w:r>
        <w:rPr>
          <w:rFonts w:ascii="仿宋" w:hAnsi="仿宋" w:eastAsia="仿宋" w:cs="仿宋"/>
          <w:spacing w:val="-9"/>
          <w:sz w:val="32"/>
          <w:szCs w:val="32"/>
        </w:rPr>
        <w:t>人员经费（对个人和家庭的补</w:t>
      </w:r>
      <w:r>
        <w:rPr>
          <w:rFonts w:ascii="仿宋" w:hAnsi="仿宋" w:eastAsia="仿宋" w:cs="仿宋"/>
          <w:spacing w:val="5"/>
          <w:sz w:val="32"/>
          <w:szCs w:val="32"/>
        </w:rPr>
        <w:t>助</w:t>
      </w:r>
      <w:r>
        <w:rPr>
          <w:rFonts w:ascii="仿宋" w:hAnsi="仿宋" w:eastAsia="仿宋" w:cs="仿宋"/>
          <w:spacing w:val="-138"/>
          <w:sz w:val="32"/>
          <w:szCs w:val="32"/>
        </w:rPr>
        <w:t>）</w:t>
      </w:r>
    </w:p>
    <w:p>
      <w:pPr>
        <w:numPr>
          <w:ilvl w:val="0"/>
          <w:numId w:val="0"/>
        </w:numPr>
        <w:spacing w:before="1" w:line="346" w:lineRule="auto"/>
        <w:ind w:left="659" w:leftChars="0" w:right="0" w:rightChars="0"/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（按部门预算经济分类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)</w:t>
      </w:r>
    </w:p>
    <w:p>
      <w:pPr>
        <w:keepNext w:val="0"/>
        <w:keepLines w:val="0"/>
        <w:widowControl/>
        <w:suppressLineNumbers w:val="0"/>
        <w:spacing w:line="360" w:lineRule="auto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ascii="仿宋_GB2312" w:hAnsi="仿宋_GB2312" w:eastAsia="仿宋_GB2312" w:cs="仿宋_GB2312"/>
          <w:snapToGrid w:val="0"/>
          <w:color w:val="000000"/>
          <w:kern w:val="0"/>
          <w:sz w:val="31"/>
          <w:szCs w:val="31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-</w:t>
      </w:r>
      <w:r>
        <w:rPr>
          <w:rFonts w:ascii="仿宋_GB2312" w:hAnsi="仿宋_GB2312" w:eastAsia="仿宋_GB2312" w:cs="仿宋_GB2312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人员经费（对个人和家庭的补 </w:t>
      </w:r>
    </w:p>
    <w:p>
      <w:pPr>
        <w:keepNext w:val="0"/>
        <w:keepLines w:val="0"/>
        <w:widowControl/>
        <w:suppressLineNumbers w:val="0"/>
        <w:spacing w:line="360" w:lineRule="auto"/>
        <w:ind w:firstLine="930" w:firstLineChars="300"/>
        <w:jc w:val="left"/>
      </w:pPr>
      <w:r>
        <w:rPr>
          <w:rFonts w:ascii="仿宋_GB2312" w:hAnsi="仿宋_GB2312" w:eastAsia="仿宋_GB2312" w:cs="仿宋_GB2312"/>
          <w:snapToGrid w:val="0"/>
          <w:color w:val="000000"/>
          <w:kern w:val="0"/>
          <w:sz w:val="31"/>
          <w:szCs w:val="31"/>
          <w:lang w:val="en-US" w:eastAsia="zh-CN" w:bidi="ar"/>
        </w:rPr>
        <w:t>助）（按政府预算经济分类）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" w:line="360" w:lineRule="auto"/>
        <w:ind w:right="165" w:rightChars="0"/>
        <w:jc w:val="left"/>
        <w:textAlignment w:val="baseline"/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sectPr>
          <w:footerReference r:id="rId7" w:type="first"/>
          <w:headerReference r:id="rId5" w:type="default"/>
          <w:footerReference r:id="rId6" w:type="default"/>
          <w:pgSz w:w="11907" w:h="16840"/>
          <w:pgMar w:top="1431" w:right="1019" w:bottom="1110" w:left="1428" w:header="0" w:footer="914" w:gutter="0"/>
          <w:cols w:space="720" w:num="1"/>
        </w:sectPr>
      </w:pPr>
    </w:p>
    <w:p>
      <w:pPr>
        <w:spacing w:before="104" w:line="346" w:lineRule="auto"/>
        <w:ind w:left="940" w:leftChars="304" w:right="-7" w:rightChars="0" w:hanging="302" w:hangingChars="1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9"/>
          <w:sz w:val="32"/>
          <w:szCs w:val="32"/>
        </w:rPr>
        <w:t>11</w:t>
      </w:r>
      <w:r>
        <w:rPr>
          <w:rFonts w:ascii="仿宋" w:hAnsi="仿宋" w:eastAsia="仿宋" w:cs="仿宋"/>
          <w:spacing w:val="-9"/>
          <w:sz w:val="32"/>
          <w:szCs w:val="32"/>
        </w:rPr>
        <w:t>、一般公共预算基本支出表</w:t>
      </w:r>
      <w:r>
        <w:rPr>
          <w:rFonts w:ascii="Times New Roman" w:hAnsi="Times New Roman" w:eastAsia="Times New Roman" w:cs="Times New Roman"/>
          <w:spacing w:val="-9"/>
          <w:sz w:val="32"/>
          <w:szCs w:val="32"/>
        </w:rPr>
        <w:t>-</w:t>
      </w:r>
      <w:r>
        <w:rPr>
          <w:rFonts w:ascii="仿宋" w:hAnsi="仿宋" w:eastAsia="仿宋" w:cs="仿宋"/>
          <w:spacing w:val="-9"/>
          <w:sz w:val="32"/>
          <w:szCs w:val="32"/>
        </w:rPr>
        <w:t>人员经费（对个人和家庭的补</w:t>
      </w:r>
      <w:r>
        <w:rPr>
          <w:rFonts w:ascii="仿宋" w:hAnsi="仿宋" w:eastAsia="仿宋" w:cs="仿宋"/>
          <w:spacing w:val="5"/>
          <w:sz w:val="32"/>
          <w:szCs w:val="32"/>
        </w:rPr>
        <w:t>助</w:t>
      </w:r>
      <w:r>
        <w:rPr>
          <w:rFonts w:ascii="仿宋" w:hAnsi="仿宋" w:eastAsia="仿宋" w:cs="仿宋"/>
          <w:spacing w:val="-138"/>
          <w:sz w:val="32"/>
          <w:szCs w:val="32"/>
        </w:rPr>
        <w:t>）</w:t>
      </w:r>
      <w:r>
        <w:rPr>
          <w:rFonts w:ascii="仿宋" w:hAnsi="仿宋" w:eastAsia="仿宋" w:cs="仿宋"/>
          <w:spacing w:val="-3"/>
          <w:sz w:val="32"/>
          <w:szCs w:val="32"/>
        </w:rPr>
        <w:t>（按政府预算经济分类）</w:t>
      </w:r>
    </w:p>
    <w:p>
      <w:pPr>
        <w:spacing w:line="346" w:lineRule="auto"/>
        <w:ind w:right="45" w:firstLine="616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12</w:t>
      </w:r>
      <w:r>
        <w:rPr>
          <w:rFonts w:ascii="Times New Roman" w:hAnsi="Times New Roman" w:eastAsia="Times New Roman" w:cs="Times New Roman"/>
          <w:spacing w:val="-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、一般公共预算基本支出表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-</w:t>
      </w:r>
      <w:r>
        <w:rPr>
          <w:rFonts w:ascii="仿宋" w:hAnsi="仿宋" w:eastAsia="仿宋" w:cs="仿宋"/>
          <w:spacing w:val="-6"/>
          <w:sz w:val="32"/>
          <w:szCs w:val="32"/>
        </w:rPr>
        <w:t>公用经费（商品和服务支出）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346" w:lineRule="auto"/>
        <w:ind w:right="45" w:firstLine="942" w:firstLineChars="3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（按政府预算经济分类）</w:t>
      </w:r>
    </w:p>
    <w:p>
      <w:pPr>
        <w:spacing w:line="346" w:lineRule="auto"/>
        <w:ind w:right="45" w:firstLine="616" w:firstLineChars="200"/>
        <w:rPr>
          <w:rFonts w:ascii="仿宋" w:hAnsi="仿宋" w:eastAsia="仿宋" w:cs="仿宋"/>
          <w:spacing w:val="-6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13</w:t>
      </w:r>
      <w:r>
        <w:rPr>
          <w:rFonts w:ascii="Times New Roman" w:hAnsi="Times New Roman" w:eastAsia="Times New Roman" w:cs="Times New Roman"/>
          <w:spacing w:val="-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、一般公共预算基本支出表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-</w:t>
      </w:r>
      <w:r>
        <w:rPr>
          <w:rFonts w:ascii="仿宋" w:hAnsi="仿宋" w:eastAsia="仿宋" w:cs="仿宋"/>
          <w:spacing w:val="-6"/>
          <w:sz w:val="32"/>
          <w:szCs w:val="32"/>
        </w:rPr>
        <w:t>公用经费（商品和服务支出）</w:t>
      </w:r>
    </w:p>
    <w:p>
      <w:pPr>
        <w:spacing w:line="346" w:lineRule="auto"/>
        <w:ind w:right="45" w:firstLine="942" w:firstLineChars="3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（按部门预算经济分类）</w:t>
      </w:r>
    </w:p>
    <w:p>
      <w:pPr>
        <w:spacing w:line="204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7"/>
          <w:sz w:val="32"/>
          <w:szCs w:val="32"/>
        </w:rPr>
        <w:t>14</w:t>
      </w:r>
      <w:r>
        <w:rPr>
          <w:rFonts w:ascii="Times New Roman" w:hAnsi="Times New Roman" w:eastAsia="Times New Roman" w:cs="Times New Roman"/>
          <w:spacing w:val="-3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、一般公共预算</w:t>
      </w:r>
      <w:r>
        <w:rPr>
          <w:rFonts w:ascii="Times New Roman" w:hAnsi="Times New Roman" w:eastAsia="Times New Roman" w:cs="Times New Roman"/>
          <w:spacing w:val="-7"/>
          <w:sz w:val="32"/>
          <w:szCs w:val="32"/>
        </w:rPr>
        <w:t>“</w:t>
      </w:r>
      <w:r>
        <w:rPr>
          <w:rFonts w:ascii="仿宋" w:hAnsi="仿宋" w:eastAsia="仿宋" w:cs="仿宋"/>
          <w:spacing w:val="-7"/>
          <w:sz w:val="32"/>
          <w:szCs w:val="32"/>
        </w:rPr>
        <w:t>三公</w:t>
      </w:r>
      <w:r>
        <w:rPr>
          <w:rFonts w:ascii="Times New Roman" w:hAnsi="Times New Roman" w:eastAsia="Times New Roman" w:cs="Times New Roman"/>
          <w:spacing w:val="-7"/>
          <w:sz w:val="32"/>
          <w:szCs w:val="32"/>
        </w:rPr>
        <w:t>”</w:t>
      </w:r>
      <w:r>
        <w:rPr>
          <w:rFonts w:ascii="仿宋" w:hAnsi="仿宋" w:eastAsia="仿宋" w:cs="仿宋"/>
          <w:spacing w:val="-7"/>
          <w:sz w:val="32"/>
          <w:szCs w:val="32"/>
        </w:rPr>
        <w:t>经费支出表</w:t>
      </w:r>
    </w:p>
    <w:p>
      <w:pPr>
        <w:spacing w:before="246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9"/>
          <w:sz w:val="32"/>
          <w:szCs w:val="32"/>
        </w:rPr>
        <w:t>15</w:t>
      </w:r>
      <w:r>
        <w:rPr>
          <w:rFonts w:ascii="Times New Roman" w:hAnsi="Times New Roman" w:eastAsia="Times New Roman" w:cs="Times New Roman"/>
          <w:spacing w:val="-3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、政府性基金预算支出表</w:t>
      </w:r>
    </w:p>
    <w:p>
      <w:pPr>
        <w:spacing w:before="283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1"/>
          <w:sz w:val="32"/>
          <w:szCs w:val="32"/>
        </w:rPr>
        <w:t>16</w:t>
      </w:r>
      <w:r>
        <w:rPr>
          <w:rFonts w:ascii="仿宋" w:hAnsi="仿宋" w:eastAsia="仿宋" w:cs="仿宋"/>
          <w:spacing w:val="-11"/>
          <w:sz w:val="32"/>
          <w:szCs w:val="32"/>
        </w:rPr>
        <w:t>、政府性基金预算支出分类汇总表（按政府预算经济分类）</w:t>
      </w:r>
    </w:p>
    <w:p>
      <w:pPr>
        <w:spacing w:before="282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1"/>
          <w:sz w:val="32"/>
          <w:szCs w:val="32"/>
        </w:rPr>
        <w:t>17</w:t>
      </w:r>
      <w:r>
        <w:rPr>
          <w:rFonts w:ascii="仿宋" w:hAnsi="仿宋" w:eastAsia="仿宋" w:cs="仿宋"/>
          <w:spacing w:val="-11"/>
          <w:sz w:val="32"/>
          <w:szCs w:val="32"/>
        </w:rPr>
        <w:t>、政府性基金预算支出分类汇总表（按部门预算经济分类）</w:t>
      </w:r>
    </w:p>
    <w:p>
      <w:pPr>
        <w:spacing w:before="283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8"/>
          <w:sz w:val="32"/>
          <w:szCs w:val="32"/>
        </w:rPr>
        <w:t>18</w:t>
      </w:r>
      <w:r>
        <w:rPr>
          <w:rFonts w:ascii="Times New Roman" w:hAnsi="Times New Roman" w:eastAsia="Times New Roman" w:cs="Times New Roman"/>
          <w:spacing w:val="-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、国有资本经营预算支出表</w:t>
      </w:r>
    </w:p>
    <w:p>
      <w:pPr>
        <w:spacing w:before="283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8"/>
          <w:sz w:val="32"/>
          <w:szCs w:val="32"/>
        </w:rPr>
        <w:t>19</w:t>
      </w:r>
      <w:r>
        <w:rPr>
          <w:rFonts w:ascii="Times New Roman" w:hAnsi="Times New Roman" w:eastAsia="Times New Roman" w:cs="Times New Roman"/>
          <w:spacing w:val="-3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、财政专户管理资金预算支出表</w:t>
      </w:r>
    </w:p>
    <w:p>
      <w:pPr>
        <w:spacing w:before="283" w:line="183" w:lineRule="auto"/>
        <w:ind w:firstLine="64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20</w:t>
      </w:r>
      <w:r>
        <w:rPr>
          <w:rFonts w:ascii="Times New Roman" w:hAnsi="Times New Roman" w:eastAsia="Times New Roman" w:cs="Times New Roman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、省级专项资金预算汇总表</w:t>
      </w:r>
    </w:p>
    <w:p>
      <w:pPr>
        <w:spacing w:before="283" w:line="183" w:lineRule="auto"/>
        <w:ind w:firstLine="64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21</w:t>
      </w:r>
      <w:r>
        <w:rPr>
          <w:rFonts w:ascii="Times New Roman" w:hAnsi="Times New Roman" w:eastAsia="Times New Roman" w:cs="Times New Roman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、省级专项资金绩效目标表</w:t>
      </w:r>
    </w:p>
    <w:p>
      <w:pPr>
        <w:spacing w:before="282" w:line="183" w:lineRule="auto"/>
        <w:ind w:firstLine="64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22</w:t>
      </w:r>
      <w:r>
        <w:rPr>
          <w:rFonts w:ascii="Times New Roman" w:hAnsi="Times New Roman" w:eastAsia="Times New Roman" w:cs="Times New Roman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、其他项目支出绩效目标表</w:t>
      </w:r>
    </w:p>
    <w:p>
      <w:pPr>
        <w:spacing w:before="283" w:line="183" w:lineRule="auto"/>
        <w:ind w:firstLine="643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23</w:t>
      </w:r>
      <w:r>
        <w:rPr>
          <w:rFonts w:ascii="Times New Roman" w:hAnsi="Times New Roman" w:eastAsia="Times New Roman" w:cs="Times New Roman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、部门整体支出绩效目标表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4" w:line="183" w:lineRule="auto"/>
        <w:ind w:firstLine="65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注：</w:t>
      </w:r>
      <w:r>
        <w:rPr>
          <w:rFonts w:ascii="仿宋" w:hAnsi="仿宋" w:eastAsia="仿宋" w:cs="仿宋"/>
          <w:spacing w:val="5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以上单位预算报表中，空表表示本单位无相关收支情况。</w:t>
      </w:r>
    </w:p>
    <w:p>
      <w:pPr>
        <w:sectPr>
          <w:footerReference r:id="rId8" w:type="default"/>
          <w:pgSz w:w="11907" w:h="16840"/>
          <w:pgMar w:top="1431" w:right="1032" w:bottom="1110" w:left="1415" w:header="0" w:footer="915" w:gutter="0"/>
          <w:cols w:space="720" w:num="1"/>
        </w:sectPr>
      </w:pPr>
    </w:p>
    <w:p>
      <w:pPr>
        <w:numPr>
          <w:ilvl w:val="0"/>
          <w:numId w:val="0"/>
        </w:numPr>
        <w:spacing w:before="375" w:line="181" w:lineRule="auto"/>
        <w:ind w:left="-1232" w:leftChars="0" w:firstLine="1442" w:firstLineChars="0"/>
        <w:rPr>
          <w:rFonts w:ascii="宋体" w:hAnsi="宋体" w:eastAsia="宋体" w:cs="宋体"/>
          <w:spacing w:val="-4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4"/>
          <w:kern w:val="0"/>
          <w:sz w:val="44"/>
          <w:szCs w:val="44"/>
        </w:rPr>
        <w:t>第一部分</w:t>
      </w:r>
      <w:r>
        <w:rPr>
          <w:rFonts w:ascii="宋体" w:hAnsi="宋体" w:eastAsia="宋体" w:cs="宋体"/>
          <w:spacing w:val="-4"/>
          <w:sz w:val="44"/>
          <w:szCs w:val="44"/>
        </w:rPr>
        <w:t>2022</w:t>
      </w:r>
      <w:r>
        <w:rPr>
          <w:rFonts w:ascii="宋体" w:hAnsi="宋体" w:eastAsia="宋体" w:cs="宋体"/>
          <w:spacing w:val="-103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4"/>
          <w:sz w:val="44"/>
          <w:szCs w:val="44"/>
        </w:rPr>
        <w:t>年单位预算说明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湖南师范大学附属中学202</w:t>
      </w:r>
      <w:r>
        <w:rPr>
          <w:rFonts w:hint="eastAsia"/>
          <w:b/>
          <w:sz w:val="32"/>
          <w:szCs w:val="32"/>
          <w:lang w:val="en-US" w:eastAsia="zh-CN"/>
        </w:rPr>
        <w:t>2</w:t>
      </w:r>
      <w:r>
        <w:rPr>
          <w:rFonts w:hint="eastAsia"/>
          <w:b/>
          <w:sz w:val="32"/>
          <w:szCs w:val="32"/>
        </w:rPr>
        <w:t>年部门预算编制说明</w:t>
      </w:r>
    </w:p>
    <w:p>
      <w:pPr>
        <w:rPr>
          <w:rFonts w:hint="eastAsia"/>
        </w:rPr>
      </w:pPr>
    </w:p>
    <w:p>
      <w:pPr>
        <w:rPr>
          <w:b/>
          <w:bCs/>
        </w:rPr>
      </w:pPr>
      <w:r>
        <w:t xml:space="preserve"> </w:t>
      </w:r>
    </w:p>
    <w:p>
      <w:pPr>
        <w:spacing w:line="360" w:lineRule="auto"/>
        <w:ind w:left="420" w:leftChars="200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一、基本情况</w:t>
      </w:r>
    </w:p>
    <w:p>
      <w:pPr>
        <w:spacing w:line="360" w:lineRule="auto"/>
        <w:ind w:left="420" w:leftChars="200" w:firstLine="422" w:firstLineChars="15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（一）单位概况。</w:t>
      </w:r>
    </w:p>
    <w:p>
      <w:pPr>
        <w:spacing w:line="360" w:lineRule="auto"/>
        <w:ind w:left="420" w:leftChars="2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湖南师范大学附属中学机构设置情况：根据湖南省机构编制委员会《关于核定湖南师范大学附属中学教职工编制的函》（湘编办函［2012］13号）的文件规定，湖南师范大学附属中学</w:t>
      </w:r>
      <w:r>
        <w:rPr>
          <w:rFonts w:hint="eastAsia" w:ascii="仿宋" w:hAnsi="仿宋" w:eastAsia="仿宋" w:cs="仿宋"/>
          <w:color w:val="444444"/>
          <w:sz w:val="28"/>
          <w:szCs w:val="28"/>
        </w:rPr>
        <w:t>系省直属单位</w:t>
      </w:r>
      <w:r>
        <w:rPr>
          <w:rFonts w:hint="eastAsia" w:ascii="仿宋" w:hAnsi="仿宋" w:eastAsia="仿宋" w:cs="仿宋"/>
          <w:sz w:val="28"/>
          <w:szCs w:val="28"/>
        </w:rPr>
        <w:t>，为正处级财政全额拨款事业单位，学校从事高中教育。</w:t>
      </w:r>
    </w:p>
    <w:p>
      <w:pPr>
        <w:spacing w:line="360" w:lineRule="auto"/>
        <w:ind w:left="420" w:leftChars="200" w:firstLine="280" w:firstLineChars="1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二）人员（含学生）及机构情况。</w:t>
      </w:r>
    </w:p>
    <w:p>
      <w:pPr>
        <w:spacing w:line="360" w:lineRule="auto"/>
        <w:ind w:left="420" w:leftChars="200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湖南师范大学附属中学学校为完全中学，内设校办、党委办、课程与教学处、科技创新处、德育与学生发展处、科研与教师发展处、信息技术处、教育督导室、后勤与保卫处、财务处等10个机构。</w:t>
      </w:r>
    </w:p>
    <w:p>
      <w:pPr>
        <w:spacing w:line="360" w:lineRule="auto"/>
        <w:ind w:left="420" w:leftChars="200"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人员构成情况：根据湘编［2012］13号规定湖南师范大学附属中学全额拨款事业编制 319名，实名编制的在职人员30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人，聘用未入编人员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106</w:t>
      </w:r>
      <w:r>
        <w:rPr>
          <w:rFonts w:hint="eastAsia" w:ascii="仿宋" w:hAnsi="仿宋" w:eastAsia="仿宋" w:cs="仿宋"/>
          <w:sz w:val="28"/>
          <w:szCs w:val="28"/>
        </w:rPr>
        <w:t>人，离休人员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人,退休人员2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56</w:t>
      </w:r>
      <w:r>
        <w:rPr>
          <w:rFonts w:hint="eastAsia" w:ascii="仿宋" w:hAnsi="仿宋" w:eastAsia="仿宋" w:cs="仿宋"/>
          <w:sz w:val="28"/>
          <w:szCs w:val="28"/>
        </w:rPr>
        <w:t>人，现有在校学生3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847</w:t>
      </w:r>
      <w:r>
        <w:rPr>
          <w:rFonts w:hint="eastAsia" w:ascii="仿宋" w:hAnsi="仿宋" w:eastAsia="仿宋" w:cs="仿宋"/>
          <w:sz w:val="28"/>
          <w:szCs w:val="28"/>
        </w:rPr>
        <w:t>人。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（三）部门预算编报范围。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  湖南师范大学附属中学只有本级，没有其他预算单位，因此本单位预算仅含本级预算。</w:t>
      </w:r>
    </w:p>
    <w:p>
      <w:pPr>
        <w:widowControl/>
        <w:spacing w:line="600" w:lineRule="exact"/>
        <w:ind w:left="627"/>
        <w:jc w:val="left"/>
        <w:rPr>
          <w:rFonts w:eastAsia="黑体"/>
          <w:b/>
          <w:bCs/>
          <w:kern w:val="0"/>
          <w:sz w:val="32"/>
          <w:szCs w:val="32"/>
        </w:rPr>
      </w:pPr>
      <w:r>
        <w:rPr>
          <w:rFonts w:eastAsia="黑体"/>
          <w:b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11949.98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10341.98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1608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收入较去年增加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424.5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</w:rPr>
        <w:t>经费拨款增加</w:t>
      </w:r>
      <w:r>
        <w:rPr>
          <w:rFonts w:hint="eastAsia" w:eastAsia="仿宋_GB2312"/>
          <w:b/>
          <w:sz w:val="32"/>
          <w:szCs w:val="32"/>
          <w:lang w:val="en-US" w:eastAsia="zh-CN"/>
        </w:rPr>
        <w:t>424.5</w:t>
      </w:r>
      <w:r>
        <w:rPr>
          <w:rFonts w:hint="eastAsia" w:eastAsia="仿宋_GB2312"/>
          <w:b/>
          <w:sz w:val="32"/>
          <w:szCs w:val="32"/>
        </w:rPr>
        <w:t>万元，专户收入增加0万元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14028.65</w:t>
      </w:r>
      <w:r>
        <w:rPr>
          <w:rFonts w:eastAsia="仿宋_GB2312"/>
          <w:sz w:val="32"/>
          <w:szCs w:val="32"/>
        </w:rPr>
        <w:t>万元，其中，教育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14027.15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支出较去年</w:t>
      </w:r>
      <w:r>
        <w:rPr>
          <w:rFonts w:hint="eastAsia" w:eastAsia="仿宋_GB2312"/>
          <w:b/>
          <w:sz w:val="32"/>
          <w:szCs w:val="32"/>
          <w:lang w:eastAsia="zh-CN"/>
        </w:rPr>
        <w:t>增加</w:t>
      </w:r>
      <w:r>
        <w:rPr>
          <w:rFonts w:hint="eastAsia" w:eastAsia="仿宋_GB2312"/>
          <w:b/>
          <w:sz w:val="32"/>
          <w:szCs w:val="32"/>
          <w:lang w:val="en-US" w:eastAsia="zh-CN"/>
        </w:rPr>
        <w:t>3029.37</w:t>
      </w:r>
      <w:r>
        <w:rPr>
          <w:rFonts w:eastAsia="仿宋_GB2312"/>
          <w:b/>
          <w:sz w:val="32"/>
          <w:szCs w:val="32"/>
        </w:rPr>
        <w:t>万元</w:t>
      </w:r>
      <w:r>
        <w:rPr>
          <w:rFonts w:hint="eastAsia" w:eastAsia="仿宋_GB2312"/>
          <w:b/>
          <w:sz w:val="32"/>
          <w:szCs w:val="32"/>
        </w:rPr>
        <w:t>，主要是今年</w:t>
      </w:r>
      <w:r>
        <w:rPr>
          <w:rFonts w:hint="eastAsia" w:eastAsia="仿宋_GB2312"/>
          <w:b/>
          <w:sz w:val="32"/>
          <w:szCs w:val="32"/>
          <w:lang w:eastAsia="zh-CN"/>
        </w:rPr>
        <w:t>增加了项目经费支出</w:t>
      </w:r>
      <w:r>
        <w:rPr>
          <w:rFonts w:hint="eastAsia" w:eastAsia="仿宋_GB2312"/>
          <w:b/>
          <w:sz w:val="32"/>
          <w:szCs w:val="32"/>
          <w:lang w:val="en-US" w:eastAsia="zh-CN"/>
        </w:rPr>
        <w:t>3029.37</w:t>
      </w:r>
      <w:r>
        <w:rPr>
          <w:rFonts w:hint="eastAsia" w:eastAsia="仿宋_GB2312"/>
          <w:b/>
          <w:sz w:val="32"/>
          <w:szCs w:val="32"/>
        </w:rPr>
        <w:t>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12420.65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教育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12419.15</w:t>
      </w:r>
      <w:r>
        <w:rPr>
          <w:rFonts w:eastAsia="仿宋_GB2312"/>
          <w:sz w:val="32"/>
          <w:szCs w:val="32"/>
        </w:rPr>
        <w:t>万元。具体安排情况如下：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9693.98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2726.67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single"/>
        </w:rPr>
        <w:t>专项业务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2078.67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高中教材和中美班课程服务费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  <w:u w:val="single"/>
        </w:rPr>
        <w:t>发展专项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648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学校改善各类办学条件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年本单位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政府性基金支出预算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与</w:t>
      </w:r>
      <w:r>
        <w:rPr>
          <w:rFonts w:eastAsia="仿宋_GB2312"/>
          <w:sz w:val="32"/>
          <w:szCs w:val="32"/>
        </w:rPr>
        <w:t>上年预算持平。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年“三公”经费预算较上年持平。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人；培训费预算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80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  <w:u w:val="single"/>
        </w:rPr>
        <w:t>30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u w:val="single"/>
        </w:rPr>
        <w:t>1200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  <w:u w:val="single"/>
        </w:rPr>
        <w:t>教学技能、新高考背景下教师培训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（注：三类会议、培训活动，节庆、晚会、论坛、赛事等活动，请分项列明活动计划及经费预算情况）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>1130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290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u w:val="single"/>
        </w:rPr>
        <w:t>840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2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2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  <w:u w:val="single"/>
        </w:rPr>
        <w:t>11525.48</w:t>
      </w:r>
      <w:r>
        <w:rPr>
          <w:rFonts w:eastAsia="仿宋_GB2312"/>
          <w:bCs/>
          <w:kern w:val="0"/>
          <w:sz w:val="32"/>
          <w:szCs w:val="32"/>
        </w:rPr>
        <w:t>万</w:t>
      </w:r>
      <w:r>
        <w:rPr>
          <w:rFonts w:hint="eastAsia" w:eastAsia="仿宋_GB2312"/>
          <w:bCs/>
          <w:kern w:val="0"/>
          <w:sz w:val="32"/>
          <w:szCs w:val="32"/>
        </w:rPr>
        <w:t>元，</w:t>
      </w:r>
      <w:r>
        <w:rPr>
          <w:rFonts w:eastAsia="仿宋_GB2312"/>
          <w:bCs/>
          <w:kern w:val="0"/>
          <w:sz w:val="32"/>
          <w:szCs w:val="32"/>
        </w:rPr>
        <w:t>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spacing w:line="360" w:lineRule="auto"/>
        <w:ind w:left="420" w:leftChars="200" w:firstLine="480" w:firstLineChars="1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spacing w:line="360" w:lineRule="auto"/>
        <w:ind w:left="420" w:leftChars="200" w:firstLine="420" w:firstLineChars="1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（一）收入预算说明。</w:t>
      </w:r>
    </w:p>
    <w:p>
      <w:pPr>
        <w:spacing w:line="360" w:lineRule="auto"/>
        <w:ind w:left="420" w:leftChars="2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年收入总预算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11949.98</w:t>
      </w:r>
      <w:r>
        <w:rPr>
          <w:rFonts w:hint="eastAsia" w:ascii="仿宋" w:hAnsi="仿宋" w:eastAsia="仿宋" w:cs="仿宋"/>
          <w:sz w:val="28"/>
          <w:szCs w:val="28"/>
        </w:rPr>
        <w:t>万元，同比上年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11525.48</w:t>
      </w:r>
      <w:r>
        <w:rPr>
          <w:rFonts w:hint="eastAsia" w:ascii="仿宋" w:hAnsi="仿宋" w:eastAsia="仿宋" w:cs="仿宋"/>
          <w:sz w:val="28"/>
          <w:szCs w:val="28"/>
        </w:rPr>
        <w:t>万元增加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424.5</w:t>
      </w:r>
      <w:r>
        <w:rPr>
          <w:rFonts w:hint="eastAsia" w:ascii="仿宋" w:hAnsi="仿宋" w:eastAsia="仿宋" w:cs="仿宋"/>
          <w:sz w:val="28"/>
          <w:szCs w:val="28"/>
        </w:rPr>
        <w:t>万元，同比增长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3.68</w:t>
      </w:r>
      <w:r>
        <w:rPr>
          <w:rFonts w:hint="eastAsia" w:ascii="仿宋" w:hAnsi="仿宋" w:eastAsia="仿宋" w:cs="仿宋"/>
          <w:sz w:val="28"/>
          <w:szCs w:val="28"/>
        </w:rPr>
        <w:t>%。具体分项收入如下：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1. 公共财政预算拨款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10341.98</w:t>
      </w:r>
      <w:r>
        <w:rPr>
          <w:rFonts w:hint="eastAsia" w:ascii="仿宋" w:hAnsi="仿宋" w:eastAsia="仿宋" w:cs="仿宋"/>
          <w:sz w:val="28"/>
          <w:szCs w:val="28"/>
        </w:rPr>
        <w:t>万元，占总预算收入的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86.54</w:t>
      </w:r>
      <w:r>
        <w:rPr>
          <w:rFonts w:hint="eastAsia" w:ascii="仿宋" w:hAnsi="仿宋" w:eastAsia="仿宋" w:cs="仿宋"/>
          <w:sz w:val="28"/>
          <w:szCs w:val="28"/>
        </w:rPr>
        <w:t>%，其中财政经常性拨款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5055.98</w:t>
      </w:r>
      <w:r>
        <w:rPr>
          <w:rFonts w:hint="eastAsia" w:ascii="仿宋" w:hAnsi="仿宋" w:eastAsia="仿宋" w:cs="仿宋"/>
          <w:sz w:val="28"/>
          <w:szCs w:val="28"/>
        </w:rPr>
        <w:t>万元，纳入预算管理的其他非税收入（主要为合作办校协议款）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5286</w:t>
      </w:r>
      <w:r>
        <w:rPr>
          <w:rFonts w:hint="eastAsia" w:ascii="仿宋" w:hAnsi="仿宋" w:eastAsia="仿宋" w:cs="仿宋"/>
          <w:sz w:val="28"/>
          <w:szCs w:val="28"/>
        </w:rPr>
        <w:t>万元。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2. 纳入财政专户管理的收入安排的资金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1608</w:t>
      </w:r>
      <w:r>
        <w:rPr>
          <w:rFonts w:hint="eastAsia" w:ascii="仿宋" w:hAnsi="仿宋" w:eastAsia="仿宋" w:cs="仿宋"/>
          <w:sz w:val="28"/>
          <w:szCs w:val="28"/>
        </w:rPr>
        <w:t>万元，占总预算收入的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13.46</w:t>
      </w:r>
      <w:r>
        <w:rPr>
          <w:rFonts w:hint="eastAsia" w:ascii="仿宋" w:hAnsi="仿宋" w:eastAsia="仿宋" w:cs="仿宋"/>
          <w:sz w:val="28"/>
          <w:szCs w:val="28"/>
        </w:rPr>
        <w:t>%。此项反映的是教育收费收入安排的资金，根据省物价局普通高中公费生、择校生收费标准及学生人数预计专户收入，具体测算情况见附表202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年非税收入测算。</w:t>
      </w:r>
    </w:p>
    <w:p>
      <w:pPr>
        <w:spacing w:line="360" w:lineRule="auto"/>
        <w:ind w:left="420" w:leftChars="200" w:firstLine="140" w:firstLineChars="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3.上年结余收入0万元，根据财政部门要求，本次预算未考虑上年结余资金。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（二）支出预算说明。</w:t>
      </w:r>
    </w:p>
    <w:p>
      <w:pPr>
        <w:spacing w:line="360" w:lineRule="auto"/>
        <w:ind w:left="420" w:leftChars="200"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年部门支出预算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11949.98</w:t>
      </w:r>
      <w:r>
        <w:rPr>
          <w:rFonts w:hint="eastAsia" w:ascii="仿宋" w:hAnsi="仿宋" w:eastAsia="仿宋" w:cs="仿宋"/>
          <w:sz w:val="28"/>
          <w:szCs w:val="28"/>
        </w:rPr>
        <w:t>万元，同比上年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11525.48</w:t>
      </w:r>
      <w:r>
        <w:rPr>
          <w:rFonts w:hint="eastAsia" w:ascii="仿宋" w:hAnsi="仿宋" w:eastAsia="仿宋" w:cs="仿宋"/>
          <w:sz w:val="28"/>
          <w:szCs w:val="28"/>
        </w:rPr>
        <w:t>万元增加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424.5</w:t>
      </w:r>
      <w:r>
        <w:rPr>
          <w:rFonts w:hint="eastAsia" w:ascii="仿宋" w:hAnsi="仿宋" w:eastAsia="仿宋" w:cs="仿宋"/>
          <w:sz w:val="28"/>
          <w:szCs w:val="28"/>
        </w:rPr>
        <w:t>万元，同比增长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3.68</w:t>
      </w:r>
      <w:r>
        <w:rPr>
          <w:rFonts w:hint="eastAsia" w:ascii="仿宋" w:hAnsi="仿宋" w:eastAsia="仿宋" w:cs="仿宋"/>
          <w:sz w:val="28"/>
          <w:szCs w:val="28"/>
        </w:rPr>
        <w:t>%。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1．按支出功能分类科目划分，分为教育支出、社会保障支出和住房保障支出。其中：教育类支出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9928.98</w:t>
      </w:r>
      <w:r>
        <w:rPr>
          <w:rFonts w:hint="eastAsia" w:ascii="仿宋" w:hAnsi="仿宋" w:eastAsia="仿宋" w:cs="仿宋"/>
          <w:sz w:val="28"/>
          <w:szCs w:val="28"/>
        </w:rPr>
        <w:t>万元，占支出总预算83.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09</w:t>
      </w:r>
      <w:r>
        <w:rPr>
          <w:rFonts w:hint="eastAsia" w:ascii="仿宋" w:hAnsi="仿宋" w:eastAsia="仿宋" w:cs="仿宋"/>
          <w:sz w:val="28"/>
          <w:szCs w:val="28"/>
        </w:rPr>
        <w:t>%，；住房保障支出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700</w:t>
      </w:r>
      <w:r>
        <w:rPr>
          <w:rFonts w:hint="eastAsia" w:ascii="仿宋" w:hAnsi="仿宋" w:eastAsia="仿宋" w:cs="仿宋"/>
          <w:sz w:val="28"/>
          <w:szCs w:val="28"/>
        </w:rPr>
        <w:t>万元，占支出总预算5.8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%，其内容为住房公积金及新人住房补贴；社会保障1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320</w:t>
      </w:r>
      <w:r>
        <w:rPr>
          <w:rFonts w:hint="eastAsia" w:ascii="仿宋" w:hAnsi="仿宋" w:eastAsia="仿宋" w:cs="仿宋"/>
          <w:sz w:val="28"/>
          <w:szCs w:val="28"/>
        </w:rPr>
        <w:t>万元占支出总预算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11.05</w:t>
      </w:r>
      <w:r>
        <w:rPr>
          <w:rFonts w:hint="eastAsia" w:ascii="仿宋" w:hAnsi="仿宋" w:eastAsia="仿宋" w:cs="仿宋"/>
          <w:sz w:val="28"/>
          <w:szCs w:val="28"/>
        </w:rPr>
        <w:t>%。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2．按支出结构分类划分，分为基本支出和项目支出。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（1）基本支出预算。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年基本支出预算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11569.98</w:t>
      </w:r>
      <w:r>
        <w:rPr>
          <w:rFonts w:hint="eastAsia" w:ascii="仿宋" w:hAnsi="仿宋" w:eastAsia="仿宋" w:cs="仿宋"/>
          <w:sz w:val="28"/>
          <w:szCs w:val="28"/>
        </w:rPr>
        <w:t>万元，占支出总预算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96.82</w:t>
      </w:r>
      <w:r>
        <w:rPr>
          <w:rFonts w:hint="eastAsia" w:ascii="仿宋" w:hAnsi="仿宋" w:eastAsia="仿宋" w:cs="仿宋"/>
          <w:sz w:val="28"/>
          <w:szCs w:val="28"/>
        </w:rPr>
        <w:t>%其中：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人员经费支出预算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8935.98</w:t>
      </w:r>
      <w:r>
        <w:rPr>
          <w:rFonts w:hint="eastAsia" w:ascii="仿宋" w:hAnsi="仿宋" w:eastAsia="仿宋" w:cs="仿宋"/>
          <w:sz w:val="28"/>
          <w:szCs w:val="28"/>
        </w:rPr>
        <w:t>万元，占基本支出预算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77.23</w:t>
      </w:r>
      <w:r>
        <w:rPr>
          <w:rFonts w:hint="eastAsia" w:ascii="仿宋" w:hAnsi="仿宋" w:eastAsia="仿宋" w:cs="仿宋"/>
          <w:sz w:val="28"/>
          <w:szCs w:val="28"/>
        </w:rPr>
        <w:t>%。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商品和服务支出预算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2634</w:t>
      </w:r>
      <w:r>
        <w:rPr>
          <w:rFonts w:hint="eastAsia" w:ascii="仿宋" w:hAnsi="仿宋" w:eastAsia="仿宋" w:cs="仿宋"/>
          <w:sz w:val="28"/>
          <w:szCs w:val="28"/>
        </w:rPr>
        <w:t>万元，占基本支出预算2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2.84</w:t>
      </w:r>
      <w:r>
        <w:rPr>
          <w:rFonts w:hint="eastAsia" w:ascii="仿宋" w:hAnsi="仿宋" w:eastAsia="仿宋" w:cs="仿宋"/>
          <w:sz w:val="28"/>
          <w:szCs w:val="28"/>
        </w:rPr>
        <w:t>%，  比202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年增加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669</w:t>
      </w:r>
      <w:r>
        <w:rPr>
          <w:rFonts w:hint="eastAsia" w:ascii="仿宋" w:hAnsi="仿宋" w:eastAsia="仿宋" w:cs="仿宋"/>
          <w:sz w:val="28"/>
          <w:szCs w:val="28"/>
        </w:rPr>
        <w:t>万元，增长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34</w:t>
      </w:r>
      <w:r>
        <w:rPr>
          <w:rFonts w:hint="eastAsia" w:ascii="仿宋" w:hAnsi="仿宋" w:eastAsia="仿宋" w:cs="仿宋"/>
          <w:sz w:val="28"/>
          <w:szCs w:val="28"/>
        </w:rPr>
        <w:t>%。根据202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年预算情况及202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年收支执行情况结合202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年度的预计支出规模，遵循量入为出的原则，分析填列本类型各明细项目，202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年安排的三公经费支出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万元，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主要为</w:t>
      </w:r>
      <w:r>
        <w:rPr>
          <w:rFonts w:hint="eastAsia" w:ascii="仿宋" w:hAnsi="仿宋" w:eastAsia="仿宋" w:cs="仿宋"/>
          <w:sz w:val="28"/>
          <w:szCs w:val="28"/>
        </w:rPr>
        <w:t>公务用车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万元，与上年水平持平，因公出国交流未做相关预算。其他商品和服务支出中有学工学农学军三项学生实践活动约80万元，教学业务费均含其中。</w:t>
      </w:r>
    </w:p>
    <w:p>
      <w:pPr>
        <w:spacing w:line="240" w:lineRule="auto"/>
        <w:ind w:left="0"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对个人和家庭的补助支出预算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600</w:t>
      </w:r>
      <w:r>
        <w:rPr>
          <w:rFonts w:hint="eastAsia" w:ascii="仿宋" w:hAnsi="仿宋" w:eastAsia="仿宋" w:cs="仿宋"/>
          <w:sz w:val="28"/>
          <w:szCs w:val="28"/>
        </w:rPr>
        <w:t>万元，占基本支出预算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5.19</w:t>
      </w:r>
      <w:r>
        <w:rPr>
          <w:rFonts w:hint="eastAsia" w:ascii="仿宋" w:hAnsi="仿宋" w:eastAsia="仿宋" w:cs="仿宋"/>
          <w:sz w:val="28"/>
          <w:szCs w:val="28"/>
        </w:rPr>
        <w:t>%，退休人员参加湖南省养老保险改革，退休费不再列入，学校必须承担退休人员与社保结算的工资差额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120</w:t>
      </w:r>
      <w:r>
        <w:rPr>
          <w:rFonts w:hint="eastAsia" w:ascii="仿宋" w:hAnsi="仿宋" w:eastAsia="仿宋" w:cs="仿宋"/>
          <w:sz w:val="28"/>
          <w:szCs w:val="28"/>
        </w:rPr>
        <w:t>万元。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（2）项目支出预算。</w:t>
      </w:r>
    </w:p>
    <w:p>
      <w:pPr>
        <w:spacing w:line="360" w:lineRule="auto"/>
        <w:ind w:left="420" w:leftChars="200"/>
        <w:rPr>
          <w:rFonts w:hint="eastAsia" w:ascii="仿宋" w:hAnsi="仿宋" w:eastAsia="仿宋" w:cs="仿宋"/>
          <w:spacing w:val="-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年项目支出预算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380</w:t>
      </w:r>
      <w:r>
        <w:rPr>
          <w:rFonts w:hint="eastAsia" w:ascii="仿宋" w:hAnsi="仿宋" w:eastAsia="仿宋" w:cs="仿宋"/>
          <w:sz w:val="28"/>
          <w:szCs w:val="28"/>
        </w:rPr>
        <w:t>万元，占支出总预算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3.18</w:t>
      </w:r>
      <w:r>
        <w:rPr>
          <w:rFonts w:hint="eastAsia" w:ascii="仿宋" w:hAnsi="仿宋" w:eastAsia="仿宋" w:cs="仿宋"/>
          <w:sz w:val="28"/>
          <w:szCs w:val="28"/>
        </w:rPr>
        <w:t>%，同比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减少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1625.7</w:t>
      </w:r>
      <w:r>
        <w:rPr>
          <w:rFonts w:hint="eastAsia" w:ascii="仿宋" w:hAnsi="仿宋" w:eastAsia="仿宋" w:cs="仿宋"/>
          <w:sz w:val="28"/>
          <w:szCs w:val="28"/>
        </w:rPr>
        <w:t>万元，同比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减少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81.05</w:t>
      </w:r>
      <w:r>
        <w:rPr>
          <w:rFonts w:hint="eastAsia" w:ascii="仿宋" w:hAnsi="仿宋" w:eastAsia="仿宋" w:cs="仿宋"/>
          <w:sz w:val="28"/>
          <w:szCs w:val="28"/>
        </w:rPr>
        <w:t>%。其中：商品和服务支出预算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380</w:t>
      </w:r>
      <w:r>
        <w:rPr>
          <w:rFonts w:hint="eastAsia" w:ascii="仿宋" w:hAnsi="仿宋" w:eastAsia="仿宋" w:cs="仿宋"/>
          <w:sz w:val="28"/>
          <w:szCs w:val="28"/>
        </w:rPr>
        <w:t>万元，占项目支出预算100%。主要为这个学年的高中必购教材130万元，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创客中心建设</w:t>
      </w:r>
      <w:r>
        <w:rPr>
          <w:rFonts w:hint="eastAsia" w:ascii="仿宋" w:hAnsi="仿宋" w:eastAsia="仿宋" w:cs="仿宋"/>
          <w:sz w:val="28"/>
          <w:szCs w:val="28"/>
        </w:rPr>
        <w:t>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200</w:t>
      </w:r>
      <w:r>
        <w:rPr>
          <w:rFonts w:hint="eastAsia" w:ascii="仿宋" w:hAnsi="仿宋" w:eastAsia="仿宋" w:cs="仿宋"/>
          <w:sz w:val="28"/>
          <w:szCs w:val="28"/>
        </w:rPr>
        <w:t>万元，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智慧学院系统维护费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50万</w:t>
      </w:r>
      <w:r>
        <w:rPr>
          <w:rFonts w:hint="eastAsia" w:ascii="仿宋" w:hAnsi="仿宋" w:eastAsia="仿宋" w:cs="仿宋"/>
          <w:sz w:val="28"/>
          <w:szCs w:val="28"/>
        </w:rPr>
        <w:t>。</w:t>
      </w:r>
      <w:bookmarkStart w:id="0" w:name="_GoBack"/>
      <w:bookmarkEnd w:id="0"/>
    </w:p>
    <w:sectPr>
      <w:headerReference r:id="rId9" w:type="default"/>
      <w:footerReference r:id="rId10" w:type="default"/>
      <w:pgSz w:w="16840" w:h="11907" w:orient="landscape"/>
      <w:pgMar w:top="1415" w:right="1431" w:bottom="1452" w:left="1106" w:header="0" w:footer="91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8116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36"/>
      <w:rPr>
        <w:rFonts w:ascii="宋体" w:hAnsi="宋体" w:eastAsia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dmMDRlZDgyZmFhODBkMDJlZjk0NjBmODU0NGVmZDAifQ=="/>
  </w:docVars>
  <w:rsids>
    <w:rsidRoot w:val="00000000"/>
    <w:rsid w:val="00E24B91"/>
    <w:rsid w:val="1B6773E1"/>
    <w:rsid w:val="221E6685"/>
    <w:rsid w:val="290B3359"/>
    <w:rsid w:val="2B3D594E"/>
    <w:rsid w:val="32291158"/>
    <w:rsid w:val="34803862"/>
    <w:rsid w:val="3EAE039F"/>
    <w:rsid w:val="53B27C58"/>
    <w:rsid w:val="621677E0"/>
    <w:rsid w:val="66464043"/>
    <w:rsid w:val="6A774E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after="110"/>
      <w:jc w:val="right"/>
    </w:pPr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widowControl w:val="0"/>
      <w:shd w:val="clear" w:color="auto" w:fill="auto"/>
      <w:spacing w:after="60"/>
      <w:jc w:val="center"/>
      <w:outlineLvl w:val="1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10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qFormat/>
    <w:uiPriority w:val="0"/>
    <w:pPr>
      <w:widowControl w:val="0"/>
      <w:shd w:val="clear" w:color="auto" w:fill="auto"/>
      <w:spacing w:after="100"/>
      <w:ind w:left="142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2">
    <w:name w:val="Heading #1|1"/>
    <w:basedOn w:val="1"/>
    <w:qFormat/>
    <w:uiPriority w:val="0"/>
    <w:pPr>
      <w:widowControl w:val="0"/>
      <w:shd w:val="clear" w:color="auto" w:fill="auto"/>
      <w:spacing w:after="100"/>
      <w:jc w:val="center"/>
      <w:outlineLvl w:val="0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13">
    <w:name w:val="Heading #4|1"/>
    <w:basedOn w:val="1"/>
    <w:qFormat/>
    <w:uiPriority w:val="0"/>
    <w:pPr>
      <w:widowControl w:val="0"/>
      <w:shd w:val="clear" w:color="auto" w:fill="auto"/>
      <w:spacing w:after="90"/>
      <w:ind w:left="7030" w:firstLine="90"/>
      <w:outlineLvl w:val="3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4">
    <w:name w:val="Body text|3"/>
    <w:basedOn w:val="1"/>
    <w:qFormat/>
    <w:uiPriority w:val="0"/>
    <w:pPr>
      <w:widowControl w:val="0"/>
      <w:shd w:val="clear" w:color="auto" w:fill="auto"/>
      <w:spacing w:after="40"/>
      <w:jc w:val="center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5">
    <w:name w:val="Heading #3|1"/>
    <w:basedOn w:val="1"/>
    <w:qFormat/>
    <w:uiPriority w:val="0"/>
    <w:pPr>
      <w:widowControl w:val="0"/>
      <w:shd w:val="clear" w:color="auto" w:fill="auto"/>
      <w:spacing w:after="40" w:line="365" w:lineRule="exact"/>
      <w:jc w:val="center"/>
      <w:outlineLvl w:val="2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6">
    <w:name w:val="Body text|4"/>
    <w:basedOn w:val="1"/>
    <w:qFormat/>
    <w:uiPriority w:val="0"/>
    <w:pPr>
      <w:widowControl w:val="0"/>
      <w:shd w:val="clear" w:color="auto" w:fill="auto"/>
    </w:pPr>
    <w:rPr>
      <w:sz w:val="14"/>
      <w:szCs w:val="14"/>
      <w:u w:val="none"/>
      <w:shd w:val="clear" w:color="auto" w:fill="auto"/>
    </w:rPr>
  </w:style>
  <w:style w:type="paragraph" w:customStyle="1" w:styleId="17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8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6902</Words>
  <Characters>9287</Characters>
  <TotalTime>23</TotalTime>
  <ScaleCrop>false</ScaleCrop>
  <LinksUpToDate>false</LinksUpToDate>
  <CharactersWithSpaces>9771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2022-02-21T08:35:00Z</dcterms:created>
  <dc:creator>罗嫔嬛</dc:creator>
  <cp:lastModifiedBy> ☆潇潇★</cp:lastModifiedBy>
  <cp:lastPrinted>2022-11-16T08:15:00Z</cp:lastPrinted>
  <dcterms:modified xsi:type="dcterms:W3CDTF">2023-10-09T03:04:49Z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2022-02-28T09:19:40Z</vt:filetime>
  </property>
  <property fmtid="{D5CDD505-2E9C-101B-9397-08002B2CF9AE}" pid="4" name="KSOProductBuildVer">
    <vt:lpwstr>2052-12.1.0.15374</vt:lpwstr>
  </property>
  <property fmtid="{D5CDD505-2E9C-101B-9397-08002B2CF9AE}" pid="5" name="ICV">
    <vt:lpwstr>A0DAE2E014734940BC4A634B8FA06257_13</vt:lpwstr>
  </property>
</Properties>
</file>